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4"/>
        </w:rPr>
        <w:t>JOHN LOGIE BAIRD PRIMARY SCHOOL, ELCC AND LEARNING CENTRE</w:t>
      </w:r>
    </w:p>
    <w:p>
      <w:pPr>
        <w:jc w:val="center"/>
      </w:pPr>
      <w:r>
        <w:rPr>
          <w:b/>
          <w:sz w:val="40"/>
        </w:rPr>
        <w:t>MARKING, FEEDBACK AND PUPIL RESPONSE POLICY</w:t>
      </w:r>
    </w:p>
    <w:p>
      <w:pPr>
        <w:jc w:val="center"/>
      </w:pPr>
      <w:r>
        <w:rPr>
          <w:i/>
        </w:rPr>
        <w:t>Learning &amp; Thriving Together | Session 2026–27</w:t>
      </w:r>
    </w:p>
    <w:p>
      <w:pPr>
        <w:pStyle w:val="Heading1"/>
      </w:pPr>
      <w:r>
        <w:t>1. Policy statement</w:t>
      </w:r>
    </w:p>
    <w:p>
      <w:r>
        <w:t>At John Logie Baird Primary School, we believe that high-quality marking and feedback supports attainment, deepens learning and helps children become increasingly independent learners. Feedback is an ongoing diagnostic tool which helps teachers understand what children know, what they can do and what they need to do next. Our approach combines written, verbal, peer and self-assessment, with feedback given as close to the point of learning as possible.</w:t>
      </w:r>
    </w:p>
    <w:p>
      <w:r>
        <w:t>Marking is not an end in itself. The purpose of any marking or feedback is to improve learning, address misconceptions, recognise success and help pupils understand their next steps.</w:t>
      </w:r>
    </w:p>
    <w:p>
      <w:pPr>
        <w:pStyle w:val="Heading1"/>
      </w:pPr>
      <w:r>
        <w:t>2. Our principles</w:t>
      </w:r>
    </w:p>
    <w:p>
      <w:pPr>
        <w:pStyle w:val="ListBullet"/>
      </w:pPr>
      <w:r>
        <w:t>Feedback should be purposeful, timely and proportionate.</w:t>
      </w:r>
    </w:p>
    <w:p>
      <w:pPr>
        <w:pStyle w:val="ListBullet"/>
      </w:pPr>
      <w:r>
        <w:t>Feedback should have a clear impact on learning and should not create unnecessary workload.</w:t>
      </w:r>
    </w:p>
    <w:p>
      <w:pPr>
        <w:pStyle w:val="ListBullet"/>
      </w:pPr>
      <w:r>
        <w:t>Where possible, feedback should happen during the lesson so that misconceptions can be addressed immediately.</w:t>
      </w:r>
    </w:p>
    <w:p>
      <w:pPr>
        <w:pStyle w:val="ListBullet"/>
      </w:pPr>
      <w:r>
        <w:t>Children should be given regular opportunities to respond to feedback and improve their work.</w:t>
      </w:r>
    </w:p>
    <w:p>
      <w:pPr>
        <w:pStyle w:val="ListBullet"/>
      </w:pPr>
      <w:r>
        <w:t>Children should increasingly understand and take ownership of their own learning, including self-assessment and target setting.</w:t>
      </w:r>
    </w:p>
    <w:p>
      <w:pPr>
        <w:pStyle w:val="ListBullet"/>
      </w:pPr>
      <w:r>
        <w:t>Verbal feedback is valued equally with written feedback and should be recorded as VF where appropriate.</w:t>
      </w:r>
    </w:p>
    <w:p>
      <w:pPr>
        <w:pStyle w:val="ListBullet"/>
      </w:pPr>
      <w:r>
        <w:t>Feedback should recognise strengths as well as identifying a clear next step.</w:t>
      </w:r>
    </w:p>
    <w:p>
      <w:pPr>
        <w:pStyle w:val="ListBullet"/>
      </w:pPr>
      <w:r>
        <w:t>Assessment, marking and feedback should inform subsequent teaching and planning.</w:t>
      </w:r>
    </w:p>
    <w:p>
      <w:pPr>
        <w:pStyle w:val="ListBullet"/>
      </w:pPr>
      <w:r>
        <w:t>Approaches should be inclusive and adapted where necessary to meet individual needs, including ASN and Learning Centre provision.</w:t>
      </w:r>
    </w:p>
    <w:p>
      <w:pPr>
        <w:pStyle w:val="Heading1"/>
      </w:pPr>
      <w:r>
        <w:t>3. What effective feedback looks like at JLB</w:t>
      </w:r>
    </w:p>
    <w:p>
      <w:r>
        <w:t>Effective feedback should help a child answer three questions:</w:t>
      </w:r>
    </w:p>
    <w:p>
      <w:pPr>
        <w:pStyle w:val="ListBullet"/>
      </w:pPr>
      <w:r>
        <w:t>What have I done well?</w:t>
      </w:r>
    </w:p>
    <w:p>
      <w:pPr>
        <w:pStyle w:val="ListBullet"/>
      </w:pPr>
      <w:r>
        <w:t>What could I improve?</w:t>
      </w:r>
    </w:p>
    <w:p>
      <w:pPr>
        <w:pStyle w:val="ListBullet"/>
      </w:pPr>
      <w:r>
        <w:t>What do I need to do next?</w:t>
      </w:r>
    </w:p>
    <w:p>
      <w:r>
        <w:t>Feedback should be understandable to the child and, where possible, linked directly to the learning intention or success criteria. Children should have time to act on feedback rather than simply receiving it.</w:t>
      </w:r>
    </w:p>
    <w:p>
      <w:pPr>
        <w:pStyle w:val="Heading1"/>
      </w:pPr>
      <w:r>
        <w:t>4. Colour coding and marking symbols</w:t>
      </w:r>
    </w:p>
    <w:tbl>
      <w:tblPr>
        <w:tblW w:type="auto" w:w="0"/>
        <w:jc w:val="center"/>
        <w:tblLook w:firstColumn="1" w:firstRow="1" w:lastColumn="0" w:lastRow="0" w:noHBand="0" w:noVBand="1" w:val="04A0"/>
      </w:tblPr>
      <w:tblGrid>
        <w:gridCol w:w="5112"/>
        <w:gridCol w:w="5112"/>
      </w:tblGrid>
      <w:tr>
        <w:tc>
          <w:tcPr>
            <w:tcW w:type="dxa" w:w="5112"/>
            <w:shd w:fill="D9EAF7"/>
          </w:tcPr>
          <w:p>
            <w:r>
              <w:t>Colour / symbol</w:t>
            </w:r>
          </w:p>
        </w:tc>
        <w:tc>
          <w:tcPr>
            <w:tcW w:type="dxa" w:w="5112"/>
            <w:shd w:fill="D9EAF7"/>
          </w:tcPr>
          <w:p>
            <w:r>
              <w:t>JLB use</w:t>
            </w:r>
          </w:p>
        </w:tc>
      </w:tr>
      <w:tr>
        <w:tc>
          <w:tcPr>
            <w:tcW w:type="dxa" w:w="5112"/>
          </w:tcPr>
          <w:p>
            <w:r>
              <w:t>Blue</w:t>
            </w:r>
          </w:p>
        </w:tc>
        <w:tc>
          <w:tcPr>
            <w:tcW w:type="dxa" w:w="5112"/>
          </w:tcPr>
          <w:p>
            <w:r>
              <w:t>Adult marking and written feedback.</w:t>
            </w:r>
          </w:p>
        </w:tc>
      </w:tr>
      <w:tr>
        <w:tc>
          <w:tcPr>
            <w:tcW w:type="dxa" w:w="5112"/>
          </w:tcPr>
          <w:p>
            <w:r>
              <w:t>Green</w:t>
            </w:r>
          </w:p>
        </w:tc>
        <w:tc>
          <w:tcPr>
            <w:tcW w:type="dxa" w:w="5112"/>
          </w:tcPr>
          <w:p>
            <w:r>
              <w:t>Pupil responses to feedback, corrections, editing and improvement.</w:t>
            </w:r>
          </w:p>
        </w:tc>
      </w:tr>
      <w:tr>
        <w:tc>
          <w:tcPr>
            <w:tcW w:type="dxa" w:w="5112"/>
          </w:tcPr>
          <w:p>
            <w:r>
              <w:t>Purple</w:t>
            </w:r>
          </w:p>
        </w:tc>
        <w:tc>
          <w:tcPr>
            <w:tcW w:type="dxa" w:w="5112"/>
          </w:tcPr>
          <w:p>
            <w:r>
              <w:t>Pupil peer assessment and self-assessment.</w:t>
            </w:r>
          </w:p>
        </w:tc>
      </w:tr>
      <w:tr>
        <w:tc>
          <w:tcPr>
            <w:tcW w:type="dxa" w:w="5112"/>
          </w:tcPr>
          <w:p>
            <w:r>
              <w:t>✓ / acknowledgement</w:t>
            </w:r>
          </w:p>
        </w:tc>
        <w:tc>
          <w:tcPr>
            <w:tcW w:type="dxa" w:w="5112"/>
          </w:tcPr>
          <w:p>
            <w:r>
              <w:t>Recognition that work has been seen or completed appropriately.</w:t>
            </w:r>
          </w:p>
        </w:tc>
      </w:tr>
      <w:tr>
        <w:tc>
          <w:tcPr>
            <w:tcW w:type="dxa" w:w="5112"/>
          </w:tcPr>
          <w:p>
            <w:r>
              <w:t>Well done / positive comment</w:t>
            </w:r>
          </w:p>
        </w:tc>
        <w:tc>
          <w:tcPr>
            <w:tcW w:type="dxa" w:w="5112"/>
          </w:tcPr>
          <w:p>
            <w:r>
              <w:t>Specific recognition of success.</w:t>
            </w:r>
          </w:p>
        </w:tc>
      </w:tr>
      <w:tr>
        <w:tc>
          <w:tcPr>
            <w:tcW w:type="dxa" w:w="5112"/>
          </w:tcPr>
          <w:p>
            <w:r>
              <w:t>Next step</w:t>
            </w:r>
          </w:p>
        </w:tc>
        <w:tc>
          <w:tcPr>
            <w:tcW w:type="dxa" w:w="5112"/>
          </w:tcPr>
          <w:p>
            <w:r>
              <w:t>A clear action that moves learning forward.</w:t>
            </w:r>
          </w:p>
        </w:tc>
      </w:tr>
      <w:tr>
        <w:tc>
          <w:tcPr>
            <w:tcW w:type="dxa" w:w="5112"/>
          </w:tcPr>
          <w:p>
            <w:r>
              <w:t>Missing letter / word</w:t>
            </w:r>
          </w:p>
        </w:tc>
        <w:tc>
          <w:tcPr>
            <w:tcW w:type="dxa" w:w="5112"/>
          </w:tcPr>
          <w:p>
            <w:r>
              <w:t>Indicates an omission to be corrected.</w:t>
            </w:r>
          </w:p>
        </w:tc>
      </w:tr>
      <w:tr>
        <w:tc>
          <w:tcPr>
            <w:tcW w:type="dxa" w:w="5112"/>
          </w:tcPr>
          <w:p>
            <w:r>
              <w:t>SP / P / GR</w:t>
            </w:r>
          </w:p>
        </w:tc>
        <w:tc>
          <w:tcPr>
            <w:tcW w:type="dxa" w:w="5112"/>
          </w:tcPr>
          <w:p>
            <w:r>
              <w:t>Spelling / punctuation / grammar error where appropriate.</w:t>
            </w:r>
          </w:p>
        </w:tc>
      </w:tr>
      <w:tr>
        <w:tc>
          <w:tcPr>
            <w:tcW w:type="dxa" w:w="5112"/>
          </w:tcPr>
          <w:p>
            <w:r>
              <w:t>X</w:t>
            </w:r>
          </w:p>
        </w:tc>
        <w:tc>
          <w:tcPr>
            <w:tcW w:type="dxa" w:w="5112"/>
          </w:tcPr>
          <w:p>
            <w:r>
              <w:t>Identifies an error or misconception requiring attention.</w:t>
            </w:r>
          </w:p>
        </w:tc>
      </w:tr>
      <w:tr>
        <w:tc>
          <w:tcPr>
            <w:tcW w:type="dxa" w:w="5112"/>
          </w:tcPr>
          <w:p>
            <w:r>
              <w:t>¶</w:t>
            </w:r>
          </w:p>
        </w:tc>
        <w:tc>
          <w:tcPr>
            <w:tcW w:type="dxa" w:w="5112"/>
          </w:tcPr>
          <w:p>
            <w:r>
              <w:t>Start a new paragraph.</w:t>
            </w:r>
          </w:p>
        </w:tc>
      </w:tr>
      <w:tr>
        <w:tc>
          <w:tcPr>
            <w:tcW w:type="dxa" w:w="5112"/>
          </w:tcPr>
          <w:p>
            <w:r>
              <w:t>AS</w:t>
            </w:r>
          </w:p>
        </w:tc>
        <w:tc>
          <w:tcPr>
            <w:tcW w:type="dxa" w:w="5112"/>
          </w:tcPr>
          <w:p>
            <w:r>
              <w:t>Adult-supported work.</w:t>
            </w:r>
          </w:p>
        </w:tc>
      </w:tr>
      <w:tr>
        <w:tc>
          <w:tcPr>
            <w:tcW w:type="dxa" w:w="5112"/>
          </w:tcPr>
          <w:p>
            <w:r>
              <w:t>I</w:t>
            </w:r>
          </w:p>
        </w:tc>
        <w:tc>
          <w:tcPr>
            <w:tcW w:type="dxa" w:w="5112"/>
          </w:tcPr>
          <w:p>
            <w:r>
              <w:t>Independent work.</w:t>
            </w:r>
          </w:p>
        </w:tc>
      </w:tr>
      <w:tr>
        <w:tc>
          <w:tcPr>
            <w:tcW w:type="dxa" w:w="5112"/>
          </w:tcPr>
          <w:p>
            <w:r>
              <w:t>P / G</w:t>
            </w:r>
          </w:p>
        </w:tc>
        <w:tc>
          <w:tcPr>
            <w:tcW w:type="dxa" w:w="5112"/>
          </w:tcPr>
          <w:p>
            <w:r>
              <w:t>Paired or group work, where useful.</w:t>
            </w:r>
          </w:p>
        </w:tc>
      </w:tr>
    </w:tbl>
    <w:p>
      <w:r>
        <w:t>Marking symbols should be displayed inside the front cover of relevant jotters so that children and adults use a consistent language.</w:t>
      </w:r>
    </w:p>
    <w:p>
      <w:pPr>
        <w:pStyle w:val="Heading1"/>
      </w:pPr>
      <w:r>
        <w:t>5. General marking and feedback expectations</w:t>
      </w:r>
    </w:p>
    <w:p>
      <w:pPr>
        <w:pStyle w:val="ListBullet"/>
      </w:pPr>
      <w:r>
        <w:t>Misconceptions should be identified regularly and, wherever possible, during the lesson.</w:t>
      </w:r>
    </w:p>
    <w:p>
      <w:pPr>
        <w:pStyle w:val="ListBullet"/>
      </w:pPr>
      <w:r>
        <w:t>Teachers and support staff should address misconceptions promptly rather than allowing errors to become embedded.</w:t>
      </w:r>
    </w:p>
    <w:p>
      <w:pPr>
        <w:pStyle w:val="ListBullet"/>
      </w:pPr>
      <w:r>
        <w:t>Children should respond to feedback using green pen.</w:t>
      </w:r>
    </w:p>
    <w:p>
      <w:pPr>
        <w:pStyle w:val="ListBullet"/>
      </w:pPr>
      <w:r>
        <w:t>Children should be given time to review and respond to comments, ideally at the start of the following lesson or within the learning sequence.</w:t>
      </w:r>
    </w:p>
    <w:p>
      <w:pPr>
        <w:pStyle w:val="ListBullet"/>
      </w:pPr>
      <w:r>
        <w:t>Positive praise should be given regularly and should be specific where possible.</w:t>
      </w:r>
    </w:p>
    <w:p>
      <w:pPr>
        <w:pStyle w:val="ListBullet"/>
      </w:pPr>
      <w:r>
        <w:t>Ticks or acknowledgement should not replace meaningful feedback where a child needs to improve or deepen their learning.</w:t>
      </w:r>
    </w:p>
    <w:p>
      <w:pPr>
        <w:pStyle w:val="ListBullet"/>
      </w:pPr>
      <w:r>
        <w:t>Marking should reflect the purpose of the task; not every piece of work requires extensive written comments.</w:t>
      </w:r>
    </w:p>
    <w:p>
      <w:pPr>
        <w:pStyle w:val="ListBullet"/>
      </w:pPr>
      <w:r>
        <w:t>Photographs, SeeSaw evidence and other records of practical learning should be treated as valid evidence of learning.</w:t>
      </w:r>
    </w:p>
    <w:p>
      <w:pPr>
        <w:pStyle w:val="ListBullet"/>
      </w:pPr>
      <w:r>
        <w:t>Where work is predominantly practical, teachers should use verbal feedback and/or a Green Pen Question to consolidate or deepen learning.</w:t>
      </w:r>
    </w:p>
    <w:p>
      <w:pPr>
        <w:pStyle w:val="Heading1"/>
      </w:pPr>
      <w:r>
        <w:t>6. Literacy – minimum expectations</w:t>
      </w:r>
    </w:p>
    <w:p>
      <w:pPr>
        <w:pStyle w:val="ListBullet"/>
      </w:pPr>
      <w:r>
        <w:t>At least one piece of literacy work each week should be self-assessed.</w:t>
      </w:r>
    </w:p>
    <w:p>
      <w:pPr>
        <w:pStyle w:val="ListBullet"/>
      </w:pPr>
      <w:r>
        <w:t>At least one piece of literacy work each week should be peer-assessed.</w:t>
      </w:r>
    </w:p>
    <w:p>
      <w:pPr>
        <w:pStyle w:val="ListBullet"/>
      </w:pPr>
      <w:r>
        <w:t>At least once a week, an extended writing piece should receive in-depth feedback.</w:t>
      </w:r>
    </w:p>
    <w:p>
      <w:pPr>
        <w:pStyle w:val="ListBullet"/>
      </w:pPr>
      <w:r>
        <w:t>In-depth writing feedback should normally include pink/green highlighting, a detailed teacher response and a Green Pen Question (GPQ) for the child to answer.</w:t>
      </w:r>
    </w:p>
    <w:p>
      <w:pPr>
        <w:pStyle w:val="ListBullet"/>
      </w:pPr>
      <w:r>
        <w:t>Thorough verbal feedback should be given at least once a week and recorded as VF where appropriate.</w:t>
      </w:r>
    </w:p>
    <w:p>
      <w:pPr>
        <w:pStyle w:val="ListBullet"/>
      </w:pPr>
      <w:r>
        <w:t>Other literacy work should at least be acknowledged or marked using agreed symbols, stickers or brief feedback.</w:t>
      </w:r>
    </w:p>
    <w:p>
      <w:pPr>
        <w:pStyle w:val="ListBullet"/>
      </w:pPr>
      <w:r>
        <w:t>Presentation and handwriting should be commented on where this is necessary to support improvement.</w:t>
      </w:r>
    </w:p>
    <w:p>
      <w:pPr>
        <w:pStyle w:val="ListBullet"/>
      </w:pPr>
      <w:r>
        <w:t>For practical literacy experiences evidenced through photographs or other records, a GPQ should be used where appropriate to consolidate or deepen understanding.</w:t>
      </w:r>
    </w:p>
    <w:p>
      <w:pPr>
        <w:pStyle w:val="Heading1"/>
      </w:pPr>
      <w:r>
        <w:t>7. Numeracy and mathematics – minimum expectations</w:t>
      </w:r>
    </w:p>
    <w:p>
      <w:pPr>
        <w:pStyle w:val="ListBullet"/>
      </w:pPr>
      <w:r>
        <w:t>Work should be checked regularly for misconceptions, with feedback ideally provided during the lesson.</w:t>
      </w:r>
    </w:p>
    <w:p>
      <w:pPr>
        <w:pStyle w:val="ListBullet"/>
      </w:pPr>
      <w:r>
        <w:t>Misconceptions should be addressed and pupils should be given opportunities to edit or correct their work in green pen.</w:t>
      </w:r>
    </w:p>
    <w:p>
      <w:pPr>
        <w:pStyle w:val="ListBullet"/>
      </w:pPr>
      <w:r>
        <w:t>At least one piece of mathematics/numeracy work each week should be self-assessed.</w:t>
      </w:r>
    </w:p>
    <w:p>
      <w:pPr>
        <w:pStyle w:val="ListBullet"/>
      </w:pPr>
      <w:r>
        <w:t>At least one piece each week should be peer-assessed, where appropriate to the learning and age/stage of the pupils.</w:t>
      </w:r>
    </w:p>
    <w:p>
      <w:pPr>
        <w:pStyle w:val="ListBullet"/>
      </w:pPr>
      <w:r>
        <w:t>Positive praise and recognition should be used regularly.</w:t>
      </w:r>
    </w:p>
    <w:p>
      <w:pPr>
        <w:pStyle w:val="ListBullet"/>
      </w:pPr>
      <w:r>
        <w:t>Answer sheets may be used, particularly with older or more independent pupils, to allow children to identify errors and monitor their progress during a lesson.</w:t>
      </w:r>
    </w:p>
    <w:p>
      <w:pPr>
        <w:pStyle w:val="ListBullet"/>
      </w:pPr>
      <w:r>
        <w:t>Where answer sheets are used, pupils must be explicitly taught how to use them to identify when they are off-track and how to seek appropriate support. The purpose is to develop independence, not simply to produce a page of correct answers.</w:t>
      </w:r>
    </w:p>
    <w:p>
      <w:pPr>
        <w:pStyle w:val="Heading1"/>
      </w:pPr>
      <w:r>
        <w:t>8. Self-assessment</w:t>
      </w:r>
    </w:p>
    <w:p>
      <w:r>
        <w:t>Self-assessment should develop children's ability to recognise the quality of their own learning, identify misconceptions and determine appropriate next steps. It should be purposeful and linked to learning intentions, success criteria or agreed criteria for quality.</w:t>
      </w:r>
    </w:p>
    <w:p>
      <w:pPr>
        <w:pStyle w:val="ListBullet"/>
      </w:pPr>
      <w:r>
        <w:t>Children should use purple pen for self-assessment.</w:t>
      </w:r>
    </w:p>
    <w:p>
      <w:pPr>
        <w:pStyle w:val="ListBullet"/>
      </w:pPr>
      <w:r>
        <w:t>Self-assessment should include recognition of what has been achieved and, where appropriate, a clear improvement point.</w:t>
      </w:r>
    </w:p>
    <w:p>
      <w:pPr>
        <w:pStyle w:val="ListBullet"/>
      </w:pPr>
      <w:r>
        <w:t>Teachers should model and explicitly teach self-assessment so that it becomes an authentic learning behaviour.</w:t>
      </w:r>
    </w:p>
    <w:p>
      <w:pPr>
        <w:pStyle w:val="Heading1"/>
      </w:pPr>
      <w:r>
        <w:t>9. Peer assessment</w:t>
      </w:r>
    </w:p>
    <w:p>
      <w:r>
        <w:t>Peer assessment should be used to develop children's ability to evaluate learning respectfully and constructively.</w:t>
      </w:r>
    </w:p>
    <w:p>
      <w:pPr>
        <w:pStyle w:val="ListBullet"/>
      </w:pPr>
      <w:r>
        <w:t>Children should use purple pen for peer assessment.</w:t>
      </w:r>
    </w:p>
    <w:p>
      <w:pPr>
        <w:pStyle w:val="ListBullet"/>
      </w:pPr>
      <w:r>
        <w:t>Peer feedback should include a positive comment and a moving-on comment where appropriate.</w:t>
      </w:r>
    </w:p>
    <w:p>
      <w:pPr>
        <w:pStyle w:val="ListBullet"/>
      </w:pPr>
      <w:r>
        <w:t>Teachers should establish clear routines and expectations for respectful feedback.</w:t>
      </w:r>
    </w:p>
    <w:p>
      <w:pPr>
        <w:pStyle w:val="ListBullet"/>
      </w:pPr>
      <w:r>
        <w:t>Peer assessment should be matched to the age, stage and additional support needs of pupils.</w:t>
      </w:r>
    </w:p>
    <w:p>
      <w:pPr>
        <w:pStyle w:val="Heading1"/>
      </w:pPr>
      <w:r>
        <w:t>10. Verbal feedback</w:t>
      </w:r>
    </w:p>
    <w:p>
      <w:r>
        <w:t>Verbal feedback is often the most effective way to support learning at the point of need. Adults should use dialogue to question, prompt, model, challenge and address misconceptions. Where significant or planned verbal feedback has been provided, VF may be recorded to indicate that feedback has taken place.</w:t>
      </w:r>
    </w:p>
    <w:p>
      <w:pPr>
        <w:pStyle w:val="ListBullet"/>
      </w:pPr>
      <w:r>
        <w:t>Teacher and adult-supported groups provide particularly strong opportunities for feedback alongside learning.</w:t>
      </w:r>
    </w:p>
    <w:p>
      <w:pPr>
        <w:pStyle w:val="ListBullet"/>
      </w:pPr>
      <w:r>
        <w:t>Adults should verbalise their thinking where this helps children understand how to improve.</w:t>
      </w:r>
    </w:p>
    <w:p>
      <w:pPr>
        <w:pStyle w:val="ListBullet"/>
      </w:pPr>
      <w:r>
        <w:t>Verbal feedback should result in a pupil action whenever possible.</w:t>
      </w:r>
    </w:p>
    <w:p>
      <w:pPr>
        <w:pStyle w:val="Heading1"/>
      </w:pPr>
      <w:r>
        <w:t>11. Pupil target setting and review</w:t>
      </w:r>
    </w:p>
    <w:p>
      <w:r>
        <w:t>Children should have regular opportunities to review their learning and identify their own next steps. At JLB, Friday afternoon provides a structured opportunity for teachers to speak with children individually about their learning from the week.</w:t>
      </w:r>
    </w:p>
    <w:p>
      <w:pPr>
        <w:pStyle w:val="ListBullet"/>
      </w:pPr>
      <w:r>
        <w:t>Teachers should review jotters and other evidence of learning, including photographs and SeeSaw evidence where relevant.</w:t>
      </w:r>
    </w:p>
    <w:p>
      <w:pPr>
        <w:pStyle w:val="ListBullet"/>
      </w:pPr>
      <w:r>
        <w:t>The teacher and pupil should discuss successes, progress and next steps.</w:t>
      </w:r>
    </w:p>
    <w:p>
      <w:pPr>
        <w:pStyle w:val="ListBullet"/>
      </w:pPr>
      <w:r>
        <w:t>Children should be supported to articulate what they have learned and what they need to improve.</w:t>
      </w:r>
    </w:p>
    <w:p>
      <w:pPr>
        <w:pStyle w:val="ListBullet"/>
      </w:pPr>
      <w:r>
        <w:t>Children should prepare target ideas and record them in their target jotter.</w:t>
      </w:r>
    </w:p>
    <w:p>
      <w:pPr>
        <w:pStyle w:val="ListBullet"/>
      </w:pPr>
      <w:r>
        <w:t>Targets should be agreed through dialogue between the child and teacher and should be specific and achievable.</w:t>
      </w:r>
    </w:p>
    <w:p>
      <w:pPr>
        <w:pStyle w:val="ListBullet"/>
      </w:pPr>
      <w:r>
        <w:t>Targets should inform subsequent teaching and be revisited to establish progress.</w:t>
      </w:r>
    </w:p>
    <w:p>
      <w:pPr>
        <w:pStyle w:val="Heading1"/>
      </w:pPr>
      <w:r>
        <w:t>12. Inclusion and ASN</w:t>
      </w:r>
    </w:p>
    <w:p>
      <w:r>
        <w:t>Marking and feedback must be accessible and appropriate for every learner. Staff should consider communication needs, cognitive load, sensory needs, motor difficulties, language needs and individual support plans when deciding how feedback is given and recorded.</w:t>
      </w:r>
    </w:p>
    <w:p>
      <w:pPr>
        <w:pStyle w:val="ListBullet"/>
      </w:pPr>
      <w:r>
        <w:t>Feedback may be verbal, visual, practical, symbol-supported or otherwise adapted.</w:t>
      </w:r>
    </w:p>
    <w:p>
      <w:pPr>
        <w:pStyle w:val="ListBullet"/>
      </w:pPr>
      <w:r>
        <w:t>Children should not be disadvantaged by a requirement to produce written responses where this is not an appropriate way to demonstrate learning.</w:t>
      </w:r>
    </w:p>
    <w:p>
      <w:pPr>
        <w:pStyle w:val="ListBullet"/>
      </w:pPr>
      <w:r>
        <w:t>Learning Centre and ASN approaches should focus on meaningful pupil response, independence and progress rather than quantity of written evidence.</w:t>
      </w:r>
    </w:p>
    <w:p>
      <w:pPr>
        <w:pStyle w:val="ListBullet"/>
      </w:pPr>
      <w:r>
        <w:t>Staff should work with the Inclusion Team and relevant colleagues where adaptations are required.</w:t>
      </w:r>
    </w:p>
    <w:p>
      <w:pPr>
        <w:pStyle w:val="Heading1"/>
      </w:pPr>
      <w:r>
        <w:t>13. Marking, workload and professional judgement</w:t>
      </w:r>
    </w:p>
    <w:p>
      <w:r>
        <w:t>The expectations in this policy are intended to support consistency while allowing professional judgement. Teachers are not expected to write lengthy comments on every piece of work. The frequency and depth of marking should reflect the purpose of the task, the needs of the learner and the stage of learning.</w:t>
      </w:r>
    </w:p>
    <w:p>
      <w:pPr>
        <w:pStyle w:val="ListBullet"/>
      </w:pPr>
      <w:r>
        <w:t>Deep marking should be selective and purposeful.</w:t>
      </w:r>
    </w:p>
    <w:p>
      <w:pPr>
        <w:pStyle w:val="ListBullet"/>
      </w:pPr>
      <w:r>
        <w:t>Whole-class feedback, verbal feedback, live marking and conferencing can be used where they have greater impact than individual written comments.</w:t>
      </w:r>
    </w:p>
    <w:p>
      <w:pPr>
        <w:pStyle w:val="ListBullet"/>
      </w:pPr>
      <w:r>
        <w:t>Teachers should avoid marking practices that add workload without improving learning.</w:t>
      </w:r>
    </w:p>
    <w:p>
      <w:pPr>
        <w:pStyle w:val="ListBullet"/>
      </w:pPr>
      <w:r>
        <w:t>Where a class has a common misconception, whole-class teaching or feedback may be more effective than repeating the same written comment in every jotter.</w:t>
      </w:r>
    </w:p>
    <w:p>
      <w:pPr>
        <w:pStyle w:val="Heading1"/>
      </w:pPr>
      <w:r>
        <w:t>14. Roles and responsibilities</w:t>
      </w:r>
    </w:p>
    <w:p>
      <w:pPr>
        <w:pStyle w:val="Heading2"/>
      </w:pPr>
      <w:r>
        <w:t>Teachers</w:t>
      </w:r>
    </w:p>
    <w:p>
      <w:pPr>
        <w:pStyle w:val="ListBullet"/>
      </w:pPr>
      <w:r>
        <w:t>Provide clear, purposeful feedback that supports progress.</w:t>
      </w:r>
    </w:p>
    <w:p>
      <w:pPr>
        <w:pStyle w:val="ListBullet"/>
      </w:pPr>
      <w:r>
        <w:t>Ensure pupils have opportunities to respond to feedback.</w:t>
      </w:r>
    </w:p>
    <w:p>
      <w:pPr>
        <w:pStyle w:val="ListBullet"/>
      </w:pPr>
      <w:r>
        <w:t>Use assessment and feedback to inform planning and next steps.</w:t>
      </w:r>
    </w:p>
    <w:p>
      <w:pPr>
        <w:pStyle w:val="ListBullet"/>
      </w:pPr>
      <w:r>
        <w:t>Teach pupils how to self- and peer-assess effectively.</w:t>
      </w:r>
    </w:p>
    <w:p>
      <w:pPr>
        <w:pStyle w:val="ListBullet"/>
      </w:pPr>
      <w:r>
        <w:t>Maintain an appropriate balance between written, verbal, peer and self-assessment.</w:t>
      </w:r>
    </w:p>
    <w:p>
      <w:pPr>
        <w:pStyle w:val="Heading2"/>
      </w:pPr>
      <w:r>
        <w:t>Support staff</w:t>
      </w:r>
    </w:p>
    <w:p>
      <w:pPr>
        <w:pStyle w:val="ListBullet"/>
      </w:pPr>
      <w:r>
        <w:t>Provide feedback alongside learning when directed and appropriate.</w:t>
      </w:r>
    </w:p>
    <w:p>
      <w:pPr>
        <w:pStyle w:val="ListBullet"/>
      </w:pPr>
      <w:r>
        <w:t>Record or communicate significant feedback to the class teacher.</w:t>
      </w:r>
    </w:p>
    <w:p>
      <w:pPr>
        <w:pStyle w:val="ListBullet"/>
      </w:pPr>
      <w:r>
        <w:t>Use agreed marking symbols and approaches consistently.</w:t>
      </w:r>
    </w:p>
    <w:p>
      <w:pPr>
        <w:pStyle w:val="ListBullet"/>
      </w:pPr>
      <w:r>
        <w:t>Support pupils to understand and respond to feedback.</w:t>
      </w:r>
    </w:p>
    <w:p>
      <w:pPr>
        <w:pStyle w:val="Heading2"/>
      </w:pPr>
      <w:r>
        <w:t>Pupils</w:t>
      </w:r>
    </w:p>
    <w:p>
      <w:pPr>
        <w:pStyle w:val="ListBullet"/>
      </w:pPr>
      <w:r>
        <w:t>Engage positively with feedback.</w:t>
      </w:r>
    </w:p>
    <w:p>
      <w:pPr>
        <w:pStyle w:val="ListBullet"/>
      </w:pPr>
      <w:r>
        <w:t>Use green pen to respond to adult feedback.</w:t>
      </w:r>
    </w:p>
    <w:p>
      <w:pPr>
        <w:pStyle w:val="ListBullet"/>
      </w:pPr>
      <w:r>
        <w:t>Use purple pen for self- and peer-assessment.</w:t>
      </w:r>
    </w:p>
    <w:p>
      <w:pPr>
        <w:pStyle w:val="ListBullet"/>
      </w:pPr>
      <w:r>
        <w:t>Take increasing responsibility for identifying and acting on next steps.</w:t>
      </w:r>
    </w:p>
    <w:p>
      <w:pPr>
        <w:pStyle w:val="Heading2"/>
      </w:pPr>
      <w:r>
        <w:t>School leaders</w:t>
      </w:r>
    </w:p>
    <w:p>
      <w:pPr>
        <w:pStyle w:val="ListBullet"/>
      </w:pPr>
      <w:r>
        <w:t>Ensure the policy is understood and implemented consistently.</w:t>
      </w:r>
    </w:p>
    <w:p>
      <w:pPr>
        <w:pStyle w:val="ListBullet"/>
      </w:pPr>
      <w:r>
        <w:t>Monitor the quality and impact of marking and feedback through appropriate quality assurance.</w:t>
      </w:r>
    </w:p>
    <w:p>
      <w:pPr>
        <w:pStyle w:val="ListBullet"/>
      </w:pPr>
      <w:r>
        <w:t>Support professional dialogue and sharing of effective practice.</w:t>
      </w:r>
    </w:p>
    <w:p>
      <w:pPr>
        <w:pStyle w:val="ListBullet"/>
      </w:pPr>
      <w:r>
        <w:t>Review the policy in light of evidence, staff feedback and developments in learning, teaching and assessment.</w:t>
      </w:r>
    </w:p>
    <w:p>
      <w:pPr>
        <w:pStyle w:val="Heading1"/>
      </w:pPr>
      <w:r>
        <w:t>15. Monitoring and review</w:t>
      </w:r>
    </w:p>
    <w:p>
      <w:r>
        <w:t>Monitoring will focus on the impact of feedback on learning rather than the volume of teacher marking. Quality assurance may include learning visits, jotter reviews, pupil voice, planning and assessment discussions, moderation and professional dialogue.</w:t>
      </w:r>
    </w:p>
    <w:p>
      <w:r>
        <w:t>Leaders will consider whether pupils can explain their learning, recognise success, understand their next steps and demonstrate that they act on feedback.</w:t>
      </w:r>
    </w:p>
    <w:p>
      <w:r>
        <w:t>Policy review date: June 2027</w:t>
        <w:br/>
        <w:t>Policy owner: Headteacher / SLT</w:t>
        <w:br/>
        <w:t>Status: 2026–27</w:t>
      </w:r>
    </w:p>
    <w:p>
      <w:pPr>
        <w:pStyle w:val="Heading1"/>
      </w:pPr>
      <w:r>
        <w:t>Appendix 1 – Quick reference for staff</w:t>
      </w:r>
    </w:p>
    <w:tbl>
      <w:tblPr>
        <w:tblW w:type="auto" w:w="0"/>
        <w:jc w:val="center"/>
        <w:tblLook w:firstColumn="1" w:firstRow="1" w:lastColumn="0" w:lastRow="0" w:noHBand="0" w:noVBand="1" w:val="04A0"/>
      </w:tblPr>
      <w:tblGrid>
        <w:gridCol w:w="3408"/>
        <w:gridCol w:w="3408"/>
        <w:gridCol w:w="3408"/>
      </w:tblGrid>
      <w:tr>
        <w:tc>
          <w:tcPr>
            <w:tcW w:type="dxa" w:w="3408"/>
            <w:shd w:fill="D9EAF7"/>
          </w:tcPr>
          <w:p>
            <w:r>
              <w:t>Area</w:t>
            </w:r>
          </w:p>
        </w:tc>
        <w:tc>
          <w:tcPr>
            <w:tcW w:type="dxa" w:w="3408"/>
            <w:shd w:fill="D9EAF7"/>
          </w:tcPr>
          <w:p>
            <w:r>
              <w:t>Minimum expectation</w:t>
            </w:r>
          </w:p>
        </w:tc>
        <w:tc>
          <w:tcPr>
            <w:tcW w:type="dxa" w:w="3408"/>
            <w:shd w:fill="D9EAF7"/>
          </w:tcPr>
          <w:p>
            <w:r>
              <w:t>Pupil response</w:t>
            </w:r>
          </w:p>
        </w:tc>
      </w:tr>
      <w:tr>
        <w:tc>
          <w:tcPr>
            <w:tcW w:type="dxa" w:w="3408"/>
          </w:tcPr>
          <w:p>
            <w:r>
              <w:t>Literacy</w:t>
            </w:r>
          </w:p>
        </w:tc>
        <w:tc>
          <w:tcPr>
            <w:tcW w:type="dxa" w:w="3408"/>
          </w:tcPr>
          <w:p>
            <w:r>
              <w:t>1 self-assessment + 1 peer assessment weekly; 1 in-depth extended writing feedback weekly; regular verbal feedback.</w:t>
            </w:r>
          </w:p>
        </w:tc>
        <w:tc>
          <w:tcPr>
            <w:tcW w:type="dxa" w:w="3408"/>
          </w:tcPr>
          <w:p>
            <w:r>
              <w:t>Green pen for response; purple for self/peer assessment.</w:t>
            </w:r>
          </w:p>
        </w:tc>
      </w:tr>
      <w:tr>
        <w:tc>
          <w:tcPr>
            <w:tcW w:type="dxa" w:w="3408"/>
          </w:tcPr>
          <w:p>
            <w:r>
              <w:t>Numeracy</w:t>
            </w:r>
          </w:p>
        </w:tc>
        <w:tc>
          <w:tcPr>
            <w:tcW w:type="dxa" w:w="3408"/>
          </w:tcPr>
          <w:p>
            <w:r>
              <w:t>Regular/live identification of misconceptions; 1 self-assessment + 1 peer assessment weekly where appropriate.</w:t>
            </w:r>
          </w:p>
        </w:tc>
        <w:tc>
          <w:tcPr>
            <w:tcW w:type="dxa" w:w="3408"/>
          </w:tcPr>
          <w:p>
            <w:r>
              <w:t>Green pen for corrections; answer sheets may support independence.</w:t>
            </w:r>
          </w:p>
        </w:tc>
      </w:tr>
      <w:tr>
        <w:tc>
          <w:tcPr>
            <w:tcW w:type="dxa" w:w="3408"/>
          </w:tcPr>
          <w:p>
            <w:r>
              <w:t>All learning</w:t>
            </w:r>
          </w:p>
        </w:tc>
        <w:tc>
          <w:tcPr>
            <w:tcW w:type="dxa" w:w="3408"/>
          </w:tcPr>
          <w:p>
            <w:r>
              <w:t>Feedback should be purposeful, proportionate and linked to learning.</w:t>
            </w:r>
          </w:p>
        </w:tc>
        <w:tc>
          <w:tcPr>
            <w:tcW w:type="dxa" w:w="3408"/>
          </w:tcPr>
          <w:p>
            <w:r>
              <w:t>Children have time to act on feedback.</w:t>
            </w:r>
          </w:p>
        </w:tc>
      </w:tr>
      <w:tr>
        <w:tc>
          <w:tcPr>
            <w:tcW w:type="dxa" w:w="3408"/>
          </w:tcPr>
          <w:p>
            <w:r>
              <w:t>Practical learning</w:t>
            </w:r>
          </w:p>
        </w:tc>
        <w:tc>
          <w:tcPr>
            <w:tcW w:type="dxa" w:w="3408"/>
          </w:tcPr>
          <w:p>
            <w:r>
              <w:t>Use verbal feedback and/or GPQ where appropriate.</w:t>
            </w:r>
          </w:p>
        </w:tc>
        <w:tc>
          <w:tcPr>
            <w:tcW w:type="dxa" w:w="3408"/>
          </w:tcPr>
          <w:p>
            <w:r>
              <w:t>Pupil responds verbally, practically or in writing as appropriate.</w:t>
            </w:r>
          </w:p>
        </w:tc>
      </w:tr>
      <w:tr>
        <w:tc>
          <w:tcPr>
            <w:tcW w:type="dxa" w:w="3408"/>
          </w:tcPr>
          <w:p>
            <w:r>
              <w:t>Targets</w:t>
            </w:r>
          </w:p>
        </w:tc>
        <w:tc>
          <w:tcPr>
            <w:tcW w:type="dxa" w:w="3408"/>
          </w:tcPr>
          <w:p>
            <w:r>
              <w:t>Weekly 1:1 review opportunity, including Friday target-setting routine.</w:t>
            </w:r>
          </w:p>
        </w:tc>
        <w:tc>
          <w:tcPr>
            <w:tcW w:type="dxa" w:w="3408"/>
          </w:tcPr>
          <w:p>
            <w:r>
              <w:t>Child identifies and records next step with teacher.</w:t>
            </w:r>
          </w:p>
        </w:tc>
      </w:tr>
    </w:tbl>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John Logie Baird Primary School, ELCC and Learning Centre | Marking, Feedback and Pupil Response Policy 2026–27</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