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28" w:rsidRPr="007405D2" w:rsidRDefault="00875FF1" w:rsidP="0041647F">
      <w:pPr>
        <w:jc w:val="center"/>
        <w:rPr>
          <w:sz w:val="48"/>
          <w:szCs w:val="48"/>
        </w:rPr>
      </w:pPr>
      <w:r w:rsidRPr="007405D2">
        <w:rPr>
          <w:sz w:val="48"/>
          <w:szCs w:val="48"/>
        </w:rPr>
        <w:t>Safe Sleep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C5428" w:rsidRPr="002C703B" w:rsidTr="008B5F67">
        <w:tc>
          <w:tcPr>
            <w:tcW w:w="2122" w:type="dxa"/>
          </w:tcPr>
          <w:p w:rsidR="006C5428" w:rsidRPr="007405D2" w:rsidRDefault="00875FF1">
            <w:pPr>
              <w:rPr>
                <w:b/>
                <w:sz w:val="24"/>
                <w:szCs w:val="24"/>
                <w:u w:val="single"/>
              </w:rPr>
            </w:pPr>
            <w:r w:rsidRPr="007405D2">
              <w:rPr>
                <w:b/>
                <w:sz w:val="24"/>
                <w:szCs w:val="24"/>
                <w:u w:val="single"/>
              </w:rPr>
              <w:t>Safe sleep</w:t>
            </w:r>
          </w:p>
        </w:tc>
        <w:tc>
          <w:tcPr>
            <w:tcW w:w="6894" w:type="dxa"/>
          </w:tcPr>
          <w:p w:rsidR="0056202D" w:rsidRPr="0056202D" w:rsidRDefault="00A5759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JLB ELCC</w:t>
            </w:r>
          </w:p>
          <w:p w:rsidR="00D90244" w:rsidRPr="002C703B" w:rsidRDefault="00F35469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January 2024</w:t>
            </w:r>
          </w:p>
        </w:tc>
      </w:tr>
      <w:tr w:rsidR="00F61B92" w:rsidRPr="002C703B" w:rsidTr="008B5F67">
        <w:tc>
          <w:tcPr>
            <w:tcW w:w="2122" w:type="dxa"/>
          </w:tcPr>
          <w:p w:rsidR="00F61B92" w:rsidRPr="00EB248D" w:rsidRDefault="00F61B92" w:rsidP="00EB248D">
            <w:pPr>
              <w:rPr>
                <w:sz w:val="48"/>
                <w:szCs w:val="48"/>
              </w:rPr>
            </w:pPr>
            <w:r w:rsidRPr="007405D2">
              <w:rPr>
                <w:sz w:val="24"/>
                <w:szCs w:val="24"/>
              </w:rPr>
              <w:t xml:space="preserve">Our aim is that the </w:t>
            </w:r>
            <w:r w:rsidR="00875FF1" w:rsidRPr="007405D2">
              <w:rPr>
                <w:sz w:val="24"/>
                <w:szCs w:val="24"/>
              </w:rPr>
              <w:t>sleep</w:t>
            </w:r>
            <w:r w:rsidR="00120BF1" w:rsidRPr="007405D2">
              <w:rPr>
                <w:sz w:val="24"/>
                <w:szCs w:val="24"/>
              </w:rPr>
              <w:t xml:space="preserve"> experience will provide</w:t>
            </w:r>
            <w:r w:rsidRPr="007405D2">
              <w:rPr>
                <w:sz w:val="24"/>
                <w:szCs w:val="24"/>
              </w:rPr>
              <w:t>:</w:t>
            </w:r>
            <w:r w:rsidRPr="00EB248D">
              <w:rPr>
                <w:sz w:val="48"/>
                <w:szCs w:val="48"/>
              </w:rPr>
              <w:t xml:space="preserve"> </w:t>
            </w:r>
          </w:p>
        </w:tc>
        <w:tc>
          <w:tcPr>
            <w:tcW w:w="6894" w:type="dxa"/>
          </w:tcPr>
          <w:p w:rsidR="003F3731" w:rsidRDefault="002C703B" w:rsidP="003F373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E7665">
              <w:rPr>
                <w:sz w:val="24"/>
                <w:szCs w:val="24"/>
              </w:rPr>
              <w:t>The opportunity to relax in a safe environment</w:t>
            </w:r>
            <w:r w:rsidR="00B861FD">
              <w:rPr>
                <w:sz w:val="24"/>
                <w:szCs w:val="24"/>
              </w:rPr>
              <w:t xml:space="preserve"> in accordance with good practice guidance.</w:t>
            </w:r>
          </w:p>
          <w:p w:rsidR="00B861FD" w:rsidRPr="003F3731" w:rsidRDefault="003F3731" w:rsidP="003F373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F3731">
              <w:rPr>
                <w:rFonts w:ascii="UniversNextPro-Light" w:hAnsi="UniversNextPro-Light" w:cs="UniversNextPro-Light"/>
                <w:b/>
                <w:color w:val="000000"/>
                <w:sz w:val="20"/>
                <w:szCs w:val="20"/>
                <w:u w:val="single"/>
              </w:rPr>
              <w:t>Article 31</w:t>
            </w:r>
            <w:r w:rsidRPr="003F3731">
              <w:rPr>
                <w:rFonts w:ascii="UniversNextPro-HeavyCond" w:hAnsi="UniversNextPro-HeavyCond" w:cs="UniversNextPro-HeavyCond"/>
                <w:color w:val="00B7F2"/>
              </w:rPr>
              <w:t xml:space="preserve"> </w:t>
            </w:r>
            <w:r w:rsidRPr="003F3731">
              <w:rPr>
                <w:rFonts w:ascii="UniversNextPro-Regular" w:hAnsi="UniversNextPro-Regular" w:cs="UniversNextPro-Regular"/>
                <w:color w:val="000000"/>
                <w:sz w:val="20"/>
                <w:szCs w:val="20"/>
              </w:rPr>
              <w:t xml:space="preserve">- </w:t>
            </w:r>
            <w:r w:rsidRPr="003F3731">
              <w:rPr>
                <w:rFonts w:ascii="UniversNextPro-Light" w:hAnsi="UniversNextPro-Light" w:cs="UniversNextPro-Light"/>
                <w:color w:val="000000"/>
                <w:sz w:val="20"/>
                <w:szCs w:val="20"/>
              </w:rPr>
              <w:t>Every child has the right to relax, play and take part in a wide range of cultural and artistic activities.</w:t>
            </w:r>
          </w:p>
        </w:tc>
      </w:tr>
      <w:tr w:rsidR="006C5428" w:rsidRPr="002C703B" w:rsidTr="008B5F67">
        <w:tc>
          <w:tcPr>
            <w:tcW w:w="2122" w:type="dxa"/>
          </w:tcPr>
          <w:p w:rsidR="006C5428" w:rsidRPr="00EB248D" w:rsidRDefault="006C5428" w:rsidP="00EB248D">
            <w:pPr>
              <w:rPr>
                <w:sz w:val="48"/>
                <w:szCs w:val="48"/>
              </w:rPr>
            </w:pPr>
            <w:r w:rsidRPr="007405D2">
              <w:rPr>
                <w:sz w:val="24"/>
                <w:szCs w:val="24"/>
              </w:rPr>
              <w:t>What you need:</w:t>
            </w:r>
          </w:p>
        </w:tc>
        <w:tc>
          <w:tcPr>
            <w:tcW w:w="6894" w:type="dxa"/>
          </w:tcPr>
          <w:p w:rsidR="002C703B" w:rsidRPr="007405D2" w:rsidRDefault="00EB248D" w:rsidP="007405D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PVC</w:t>
            </w:r>
            <w:r w:rsidR="002C703B" w:rsidRPr="007405D2">
              <w:rPr>
                <w:sz w:val="24"/>
                <w:szCs w:val="24"/>
              </w:rPr>
              <w:t xml:space="preserve"> </w:t>
            </w:r>
            <w:r w:rsidR="007405D2" w:rsidRPr="007405D2">
              <w:rPr>
                <w:sz w:val="24"/>
                <w:szCs w:val="24"/>
              </w:rPr>
              <w:t>mattress</w:t>
            </w:r>
          </w:p>
          <w:p w:rsidR="002C703B" w:rsidRPr="007405D2" w:rsidRDefault="002C703B" w:rsidP="007405D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Clean sheet and blanket</w:t>
            </w:r>
          </w:p>
          <w:p w:rsidR="002C703B" w:rsidRPr="007405D2" w:rsidRDefault="002C703B" w:rsidP="007405D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Anti-ba</w:t>
            </w:r>
            <w:r w:rsidR="00A06B44" w:rsidRPr="007405D2">
              <w:rPr>
                <w:sz w:val="24"/>
                <w:szCs w:val="24"/>
              </w:rPr>
              <w:t>c</w:t>
            </w:r>
            <w:r w:rsidRPr="007405D2">
              <w:rPr>
                <w:sz w:val="24"/>
                <w:szCs w:val="24"/>
              </w:rPr>
              <w:t>terial spray</w:t>
            </w:r>
          </w:p>
          <w:p w:rsidR="007405D2" w:rsidRDefault="002C703B" w:rsidP="007405D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Blue roll</w:t>
            </w:r>
          </w:p>
          <w:p w:rsidR="00F61B92" w:rsidRPr="00B861FD" w:rsidRDefault="002C703B" w:rsidP="007405D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 xml:space="preserve">PPE if needed due to soiling </w:t>
            </w:r>
            <w:r w:rsidR="00292CC5" w:rsidRPr="007405D2">
              <w:rPr>
                <w:sz w:val="24"/>
                <w:szCs w:val="24"/>
              </w:rPr>
              <w:t>etc.</w:t>
            </w:r>
            <w:r w:rsidR="00F61B92" w:rsidRPr="007405D2">
              <w:rPr>
                <w:sz w:val="48"/>
                <w:szCs w:val="48"/>
              </w:rPr>
              <w:t xml:space="preserve"> </w:t>
            </w:r>
          </w:p>
          <w:p w:rsidR="00B861FD" w:rsidRPr="00B861FD" w:rsidRDefault="00B861FD" w:rsidP="00B861FD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861FD">
              <w:rPr>
                <w:sz w:val="24"/>
                <w:szCs w:val="24"/>
              </w:rPr>
              <w:t>Sleep chart</w:t>
            </w:r>
          </w:p>
        </w:tc>
      </w:tr>
      <w:tr w:rsidR="006C5428" w:rsidRPr="002C703B" w:rsidTr="008B5F67">
        <w:tc>
          <w:tcPr>
            <w:tcW w:w="2122" w:type="dxa"/>
          </w:tcPr>
          <w:p w:rsidR="006C5428" w:rsidRPr="00EB248D" w:rsidRDefault="002C703B" w:rsidP="00EB248D">
            <w:pPr>
              <w:rPr>
                <w:sz w:val="48"/>
                <w:szCs w:val="48"/>
              </w:rPr>
            </w:pPr>
            <w:r w:rsidRPr="007405D2">
              <w:rPr>
                <w:sz w:val="24"/>
                <w:szCs w:val="24"/>
              </w:rPr>
              <w:t>If a child falls asleep:</w:t>
            </w:r>
          </w:p>
        </w:tc>
        <w:tc>
          <w:tcPr>
            <w:tcW w:w="6894" w:type="dxa"/>
          </w:tcPr>
          <w:p w:rsidR="002C703B" w:rsidRPr="007405D2" w:rsidRDefault="002C703B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Allocate a</w:t>
            </w:r>
            <w:r w:rsidR="00B861FD">
              <w:rPr>
                <w:sz w:val="24"/>
                <w:szCs w:val="24"/>
              </w:rPr>
              <w:t xml:space="preserve"> safe appropriate</w:t>
            </w:r>
            <w:r w:rsidRPr="007405D2">
              <w:rPr>
                <w:sz w:val="24"/>
                <w:szCs w:val="24"/>
              </w:rPr>
              <w:t xml:space="preserve"> space within the room</w:t>
            </w:r>
          </w:p>
          <w:p w:rsidR="00A06B44" w:rsidRPr="007405D2" w:rsidRDefault="00A06B44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Ensure that sleep mat is not positioned under an open window or in front of a radiator.</w:t>
            </w:r>
          </w:p>
          <w:p w:rsidR="002C703B" w:rsidRPr="007405D2" w:rsidRDefault="002C703B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 xml:space="preserve">Place </w:t>
            </w:r>
            <w:r w:rsidR="00A06B44" w:rsidRPr="007405D2">
              <w:rPr>
                <w:sz w:val="24"/>
                <w:szCs w:val="24"/>
              </w:rPr>
              <w:t>the</w:t>
            </w:r>
            <w:r w:rsidRPr="007405D2">
              <w:rPr>
                <w:sz w:val="24"/>
                <w:szCs w:val="24"/>
              </w:rPr>
              <w:t xml:space="preserve"> clean </w:t>
            </w:r>
            <w:r w:rsidR="00A06B44" w:rsidRPr="007405D2">
              <w:rPr>
                <w:sz w:val="24"/>
                <w:szCs w:val="24"/>
              </w:rPr>
              <w:t>mattress</w:t>
            </w:r>
            <w:r w:rsidRPr="007405D2">
              <w:rPr>
                <w:sz w:val="24"/>
                <w:szCs w:val="24"/>
              </w:rPr>
              <w:t xml:space="preserve"> that’s been </w:t>
            </w:r>
            <w:r w:rsidR="00A06B44" w:rsidRPr="007405D2">
              <w:rPr>
                <w:sz w:val="24"/>
                <w:szCs w:val="24"/>
              </w:rPr>
              <w:t>inspected</w:t>
            </w:r>
            <w:r w:rsidR="000A0CF9">
              <w:rPr>
                <w:sz w:val="24"/>
                <w:szCs w:val="24"/>
              </w:rPr>
              <w:t xml:space="preserve"> for rips and tears </w:t>
            </w:r>
            <w:r w:rsidR="00A06B44" w:rsidRPr="007405D2">
              <w:rPr>
                <w:sz w:val="24"/>
                <w:szCs w:val="24"/>
              </w:rPr>
              <w:t>in the allocated place</w:t>
            </w:r>
            <w:r w:rsidR="000A0CF9">
              <w:rPr>
                <w:sz w:val="24"/>
                <w:szCs w:val="24"/>
              </w:rPr>
              <w:t>. (if damaged mattress should be binned)</w:t>
            </w:r>
          </w:p>
          <w:p w:rsidR="002C703B" w:rsidRPr="007405D2" w:rsidRDefault="00681EC3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C703B" w:rsidRPr="007405D2">
              <w:rPr>
                <w:sz w:val="24"/>
                <w:szCs w:val="24"/>
              </w:rPr>
              <w:t xml:space="preserve">hild will have </w:t>
            </w:r>
            <w:r>
              <w:rPr>
                <w:sz w:val="24"/>
                <w:szCs w:val="24"/>
              </w:rPr>
              <w:t xml:space="preserve">a </w:t>
            </w:r>
            <w:r w:rsidR="002C703B" w:rsidRPr="007405D2">
              <w:rPr>
                <w:sz w:val="24"/>
                <w:szCs w:val="24"/>
              </w:rPr>
              <w:t xml:space="preserve">clean sheet and blanket that will be laundered </w:t>
            </w:r>
            <w:r>
              <w:rPr>
                <w:sz w:val="24"/>
                <w:szCs w:val="24"/>
              </w:rPr>
              <w:t>after use</w:t>
            </w:r>
            <w:r w:rsidR="00B861FD">
              <w:rPr>
                <w:sz w:val="24"/>
                <w:szCs w:val="24"/>
              </w:rPr>
              <w:t>.</w:t>
            </w:r>
          </w:p>
          <w:p w:rsidR="00292CC5" w:rsidRPr="007405D2" w:rsidRDefault="00292CC5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If a child requires</w:t>
            </w:r>
            <w:r w:rsidR="00B861FD">
              <w:rPr>
                <w:sz w:val="24"/>
                <w:szCs w:val="24"/>
              </w:rPr>
              <w:t xml:space="preserve"> their own </w:t>
            </w:r>
            <w:r w:rsidRPr="007405D2">
              <w:rPr>
                <w:sz w:val="24"/>
                <w:szCs w:val="24"/>
              </w:rPr>
              <w:t xml:space="preserve">dummy the staff member will ensure </w:t>
            </w:r>
            <w:r w:rsidR="00EB248D" w:rsidRPr="007405D2">
              <w:rPr>
                <w:sz w:val="24"/>
                <w:szCs w:val="24"/>
              </w:rPr>
              <w:t>it’s</w:t>
            </w:r>
            <w:r w:rsidRPr="007405D2">
              <w:rPr>
                <w:sz w:val="24"/>
                <w:szCs w:val="24"/>
              </w:rPr>
              <w:t xml:space="preserve"> clean and intact with no cords attached.</w:t>
            </w:r>
          </w:p>
          <w:p w:rsidR="000A0CF9" w:rsidRDefault="002C703B" w:rsidP="000A0CF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 xml:space="preserve">While a child is sleeping the room temperature </w:t>
            </w:r>
            <w:r w:rsidR="00EB248D" w:rsidRPr="007405D2">
              <w:rPr>
                <w:sz w:val="24"/>
                <w:szCs w:val="24"/>
              </w:rPr>
              <w:t xml:space="preserve">will be checked </w:t>
            </w:r>
            <w:r w:rsidR="000A0CF9">
              <w:rPr>
                <w:sz w:val="24"/>
                <w:szCs w:val="24"/>
              </w:rPr>
              <w:t xml:space="preserve">regularly </w:t>
            </w:r>
            <w:r w:rsidR="00A06B44" w:rsidRPr="007405D2">
              <w:rPr>
                <w:sz w:val="24"/>
                <w:szCs w:val="24"/>
              </w:rPr>
              <w:t>ensuring it is between 16o-20o</w:t>
            </w:r>
          </w:p>
          <w:p w:rsidR="000A0CF9" w:rsidRPr="000A0CF9" w:rsidRDefault="000A0CF9" w:rsidP="000A0CF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 xml:space="preserve">The child will not be left in a room on their own at any time. </w:t>
            </w:r>
          </w:p>
          <w:p w:rsidR="00A06B44" w:rsidRPr="007405D2" w:rsidRDefault="00A06B44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Sleeping child will be closely supervised and checked every 10 to 15 minutes and temperature monitored regularly by touching the back of the child’s neck.</w:t>
            </w:r>
          </w:p>
          <w:p w:rsidR="00454BF3" w:rsidRPr="007405D2" w:rsidRDefault="000A0CF9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sleep record sheet.</w:t>
            </w:r>
          </w:p>
          <w:p w:rsidR="00A06B44" w:rsidRPr="007405D2" w:rsidRDefault="00A06B44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When the child awakes they will have the opportunity to have some time with an adult</w:t>
            </w:r>
            <w:r w:rsidR="00292CC5" w:rsidRPr="007405D2">
              <w:rPr>
                <w:sz w:val="24"/>
                <w:szCs w:val="24"/>
              </w:rPr>
              <w:t xml:space="preserve"> (adult may wish to encourage child to go to the toilet at this point)</w:t>
            </w:r>
            <w:r w:rsidRPr="007405D2">
              <w:rPr>
                <w:sz w:val="24"/>
                <w:szCs w:val="24"/>
              </w:rPr>
              <w:t xml:space="preserve"> until they feel ready to play.</w:t>
            </w:r>
            <w:r w:rsidR="00A57597">
              <w:rPr>
                <w:sz w:val="24"/>
                <w:szCs w:val="24"/>
              </w:rPr>
              <w:t xml:space="preserve">  Child may need nappy changed.</w:t>
            </w:r>
          </w:p>
          <w:p w:rsidR="00A06B44" w:rsidRPr="007405D2" w:rsidRDefault="00A06B44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The slee</w:t>
            </w:r>
            <w:r w:rsidR="00292CC5" w:rsidRPr="007405D2">
              <w:rPr>
                <w:sz w:val="24"/>
                <w:szCs w:val="24"/>
              </w:rPr>
              <w:t>p mat will be cleaned with anti-</w:t>
            </w:r>
            <w:r w:rsidRPr="007405D2">
              <w:rPr>
                <w:sz w:val="24"/>
                <w:szCs w:val="24"/>
              </w:rPr>
              <w:t>bac and blue roll, dried off and put away.</w:t>
            </w:r>
          </w:p>
          <w:p w:rsidR="007405D2" w:rsidRDefault="00292CC5" w:rsidP="007405D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Adult will wash their hand afterwards.</w:t>
            </w:r>
          </w:p>
          <w:p w:rsidR="008B5F67" w:rsidRPr="00900A15" w:rsidRDefault="00A06B44" w:rsidP="009C0E4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405D2">
              <w:rPr>
                <w:sz w:val="24"/>
                <w:szCs w:val="24"/>
              </w:rPr>
              <w:t>Ch</w:t>
            </w:r>
            <w:r w:rsidR="009C0E45">
              <w:rPr>
                <w:sz w:val="24"/>
                <w:szCs w:val="24"/>
              </w:rPr>
              <w:t>ild’s bedding will be laundered.</w:t>
            </w:r>
          </w:p>
        </w:tc>
      </w:tr>
    </w:tbl>
    <w:p w:rsidR="000A0CF9" w:rsidRDefault="000A0CF9">
      <w:pPr>
        <w:sectPr w:rsidR="000A0CF9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A0CF9" w:rsidRPr="00431312" w:rsidRDefault="000A0CF9" w:rsidP="000A0CF9">
      <w:pPr>
        <w:rPr>
          <w:rFonts w:ascii="Calibri" w:hAnsi="Calibri"/>
          <w:sz w:val="36"/>
          <w:szCs w:val="36"/>
        </w:rPr>
      </w:pPr>
      <w:r w:rsidRPr="00431312">
        <w:rPr>
          <w:rFonts w:ascii="Calibri" w:hAnsi="Calibri"/>
          <w:sz w:val="36"/>
          <w:szCs w:val="36"/>
        </w:rPr>
        <w:lastRenderedPageBreak/>
        <w:t xml:space="preserve">Daily Sleep Record     </w:t>
      </w:r>
    </w:p>
    <w:p w:rsidR="000A0CF9" w:rsidRDefault="000A0CF9" w:rsidP="000A0CF9">
      <w:pPr>
        <w:rPr>
          <w:rFonts w:ascii="Calibri" w:hAnsi="Calibri"/>
        </w:rPr>
      </w:pPr>
      <w:r>
        <w:rPr>
          <w:rFonts w:ascii="Calibri" w:hAnsi="Calibri"/>
        </w:rPr>
        <w:t xml:space="preserve">Child checked according to procedures – staff member’s initials. Every 10-15 minutes. Please tick that room temperature was within 16-20o </w:t>
      </w:r>
    </w:p>
    <w:tbl>
      <w:tblPr>
        <w:tblpPr w:leftFromText="180" w:rightFromText="180" w:vertAnchor="text" w:horzAnchor="margin" w:tblpXSpec="center" w:tblpY="19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0CF9" w:rsidRPr="007E7987" w:rsidTr="000A0CF9">
        <w:trPr>
          <w:trHeight w:val="434"/>
        </w:trPr>
        <w:tc>
          <w:tcPr>
            <w:tcW w:w="2235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</w:rPr>
            </w:pPr>
            <w:r w:rsidRPr="007E7987">
              <w:rPr>
                <w:rFonts w:ascii="Calibri" w:hAnsi="Calibri"/>
              </w:rPr>
              <w:t xml:space="preserve">Name of Child </w:t>
            </w:r>
          </w:p>
        </w:tc>
        <w:tc>
          <w:tcPr>
            <w:tcW w:w="3118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</w:rPr>
            </w:pPr>
            <w:r w:rsidRPr="007E7987">
              <w:rPr>
                <w:rFonts w:ascii="Calibri" w:hAnsi="Calibri"/>
              </w:rPr>
              <w:t xml:space="preserve">Info/comments 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</w:p>
        </w:tc>
      </w:tr>
      <w:tr w:rsidR="000A0CF9" w:rsidRPr="007E7987" w:rsidTr="000A0CF9">
        <w:trPr>
          <w:trHeight w:val="684"/>
        </w:trPr>
        <w:tc>
          <w:tcPr>
            <w:tcW w:w="2235" w:type="dxa"/>
            <w:vMerge w:val="restart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</w:rPr>
            </w:pPr>
            <w:r w:rsidRPr="00431312">
              <w:rPr>
                <w:rFonts w:ascii="Calibri" w:hAnsi="Calibri"/>
                <w:sz w:val="24"/>
                <w:szCs w:val="24"/>
              </w:rPr>
              <w:t>Date: ………………………………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9.50</w:t>
            </w:r>
          </w:p>
        </w:tc>
      </w:tr>
      <w:tr w:rsidR="000A0CF9" w:rsidRPr="007E7987" w:rsidTr="000A0CF9">
        <w:trPr>
          <w:trHeight w:val="707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10.50</w:t>
            </w:r>
          </w:p>
        </w:tc>
        <w:tc>
          <w:tcPr>
            <w:tcW w:w="851" w:type="dxa"/>
            <w:shd w:val="clear" w:color="auto" w:fill="auto"/>
          </w:tcPr>
          <w:p w:rsidR="000A0CF9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11.00</w:t>
            </w:r>
          </w:p>
          <w:p w:rsidR="000A0CF9" w:rsidRPr="00D31810" w:rsidRDefault="000A0CF9" w:rsidP="000A0CF9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11.20</w:t>
            </w:r>
          </w:p>
        </w:tc>
        <w:tc>
          <w:tcPr>
            <w:tcW w:w="850" w:type="dxa"/>
            <w:shd w:val="clear" w:color="auto" w:fill="auto"/>
          </w:tcPr>
          <w:p w:rsidR="000A0CF9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11.40</w:t>
            </w:r>
          </w:p>
        </w:tc>
        <w:tc>
          <w:tcPr>
            <w:tcW w:w="850" w:type="dxa"/>
            <w:shd w:val="clear" w:color="auto" w:fill="auto"/>
          </w:tcPr>
          <w:p w:rsidR="000A0CF9" w:rsidRPr="00C1725D" w:rsidRDefault="000A0CF9" w:rsidP="000A0CF9">
            <w:pPr>
              <w:rPr>
                <w:rFonts w:ascii="Calibri" w:hAnsi="Calibri"/>
              </w:rPr>
            </w:pPr>
            <w:r w:rsidRPr="00C1725D">
              <w:rPr>
                <w:rFonts w:ascii="Calibri" w:hAnsi="Calibri"/>
              </w:rPr>
              <w:t>11.</w:t>
            </w:r>
            <w:r>
              <w:rPr>
                <w:rFonts w:ascii="Calibri" w:hAnsi="Calibri"/>
              </w:rPr>
              <w:softHyphen/>
            </w:r>
            <w:r>
              <w:rPr>
                <w:rFonts w:ascii="Calibri" w:hAnsi="Calibri"/>
              </w:rPr>
              <w:softHyphen/>
            </w:r>
            <w:r w:rsidRPr="00C1725D">
              <w:rPr>
                <w:rFonts w:ascii="Calibri" w:hAnsi="Calibri"/>
              </w:rPr>
              <w:t>50</w:t>
            </w:r>
          </w:p>
        </w:tc>
      </w:tr>
      <w:tr w:rsidR="000A0CF9" w:rsidRPr="007E7987" w:rsidTr="000A0CF9">
        <w:trPr>
          <w:trHeight w:val="690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 w:rsidRPr="00E52F6A">
              <w:rPr>
                <w:rFonts w:ascii="Calibri" w:hAnsi="Calibri"/>
              </w:rPr>
              <w:t>12.00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12.50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13.50</w:t>
            </w:r>
          </w:p>
        </w:tc>
      </w:tr>
      <w:tr w:rsidR="000A0CF9" w:rsidRPr="007E7987" w:rsidTr="000A0CF9">
        <w:trPr>
          <w:trHeight w:val="689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0A0CF9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14.50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0A0C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15.50</w:t>
            </w:r>
          </w:p>
        </w:tc>
      </w:tr>
    </w:tbl>
    <w:p w:rsidR="000A0CF9" w:rsidRPr="000A0CF9" w:rsidRDefault="000A0CF9" w:rsidP="000A0CF9">
      <w:pPr>
        <w:rPr>
          <w:rFonts w:ascii="Calibri" w:hAnsi="Calibri"/>
          <w:sz w:val="24"/>
        </w:rPr>
      </w:pPr>
      <w:r>
        <w:rPr>
          <w:rFonts w:ascii="Calibri" w:hAnsi="Calibri"/>
          <w:sz w:val="44"/>
        </w:rPr>
        <w:t xml:space="preserve">                                                                                                                        </w:t>
      </w:r>
    </w:p>
    <w:tbl>
      <w:tblPr>
        <w:tblW w:w="1555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A0CF9" w:rsidRPr="007E7987" w:rsidTr="000A0CF9">
        <w:trPr>
          <w:trHeight w:val="434"/>
        </w:trPr>
        <w:tc>
          <w:tcPr>
            <w:tcW w:w="2235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</w:rPr>
            </w:pPr>
            <w:r w:rsidRPr="007E7987">
              <w:rPr>
                <w:rFonts w:ascii="Calibri" w:hAnsi="Calibri"/>
              </w:rPr>
              <w:t xml:space="preserve">Name of Child </w:t>
            </w:r>
          </w:p>
        </w:tc>
        <w:tc>
          <w:tcPr>
            <w:tcW w:w="3118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</w:rPr>
            </w:pPr>
            <w:r w:rsidRPr="007E7987">
              <w:rPr>
                <w:rFonts w:ascii="Calibri" w:hAnsi="Calibri"/>
              </w:rPr>
              <w:t xml:space="preserve">Info/comments 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</w:p>
        </w:tc>
      </w:tr>
      <w:tr w:rsidR="000A0CF9" w:rsidRPr="007E7987" w:rsidTr="000A0CF9">
        <w:trPr>
          <w:trHeight w:val="684"/>
        </w:trPr>
        <w:tc>
          <w:tcPr>
            <w:tcW w:w="2235" w:type="dxa"/>
            <w:vMerge w:val="restart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</w:rPr>
            </w:pPr>
            <w:r w:rsidRPr="00431312">
              <w:rPr>
                <w:rFonts w:ascii="Calibri" w:hAnsi="Calibri"/>
                <w:sz w:val="24"/>
                <w:szCs w:val="24"/>
              </w:rPr>
              <w:t>Date: ………………………………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 w:rsidRPr="007E7987">
              <w:rPr>
                <w:rFonts w:ascii="Calibri" w:hAnsi="Calibri"/>
                <w:szCs w:val="20"/>
              </w:rPr>
              <w:t>9.50</w:t>
            </w:r>
          </w:p>
        </w:tc>
      </w:tr>
      <w:tr w:rsidR="000A0CF9" w:rsidRPr="007E7987" w:rsidTr="000A0CF9">
        <w:trPr>
          <w:trHeight w:val="707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10.20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10.40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10.50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11.00</w:t>
            </w:r>
          </w:p>
        </w:tc>
        <w:tc>
          <w:tcPr>
            <w:tcW w:w="850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11.20</w:t>
            </w:r>
          </w:p>
        </w:tc>
        <w:tc>
          <w:tcPr>
            <w:tcW w:w="850" w:type="dxa"/>
            <w:shd w:val="clear" w:color="auto" w:fill="auto"/>
          </w:tcPr>
          <w:p w:rsidR="000A0CF9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11.30</w:t>
            </w:r>
          </w:p>
        </w:tc>
        <w:tc>
          <w:tcPr>
            <w:tcW w:w="851" w:type="dxa"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11.40</w:t>
            </w:r>
          </w:p>
        </w:tc>
        <w:tc>
          <w:tcPr>
            <w:tcW w:w="850" w:type="dxa"/>
            <w:shd w:val="clear" w:color="auto" w:fill="auto"/>
          </w:tcPr>
          <w:p w:rsidR="000A0CF9" w:rsidRPr="00C1725D" w:rsidRDefault="000A0CF9" w:rsidP="0095512B">
            <w:pPr>
              <w:rPr>
                <w:rFonts w:ascii="Calibri" w:hAnsi="Calibri"/>
              </w:rPr>
            </w:pPr>
            <w:r w:rsidRPr="00C1725D">
              <w:rPr>
                <w:rFonts w:ascii="Calibri" w:hAnsi="Calibri"/>
              </w:rPr>
              <w:t>11.</w:t>
            </w:r>
            <w:r>
              <w:rPr>
                <w:rFonts w:ascii="Calibri" w:hAnsi="Calibri"/>
              </w:rPr>
              <w:softHyphen/>
            </w:r>
            <w:r>
              <w:rPr>
                <w:rFonts w:ascii="Calibri" w:hAnsi="Calibri"/>
              </w:rPr>
              <w:softHyphen/>
            </w:r>
            <w:r w:rsidRPr="00C1725D">
              <w:rPr>
                <w:rFonts w:ascii="Calibri" w:hAnsi="Calibri"/>
              </w:rPr>
              <w:t>50</w:t>
            </w:r>
          </w:p>
        </w:tc>
      </w:tr>
      <w:tr w:rsidR="000A0CF9" w:rsidRPr="007E7987" w:rsidTr="000A0CF9">
        <w:trPr>
          <w:trHeight w:val="690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 w:rsidRPr="00E52F6A">
              <w:rPr>
                <w:rFonts w:ascii="Calibri" w:hAnsi="Calibri"/>
              </w:rPr>
              <w:t>12.00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12.50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13.50</w:t>
            </w:r>
          </w:p>
        </w:tc>
      </w:tr>
      <w:tr w:rsidR="000A0CF9" w:rsidRPr="007E7987" w:rsidTr="000A0CF9">
        <w:trPr>
          <w:trHeight w:val="689"/>
        </w:trPr>
        <w:tc>
          <w:tcPr>
            <w:tcW w:w="2235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A0CF9" w:rsidRPr="007E7987" w:rsidRDefault="000A0CF9" w:rsidP="0095512B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14.50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15.20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15.30</w:t>
            </w:r>
          </w:p>
        </w:tc>
        <w:tc>
          <w:tcPr>
            <w:tcW w:w="851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15.40</w:t>
            </w:r>
          </w:p>
        </w:tc>
        <w:tc>
          <w:tcPr>
            <w:tcW w:w="850" w:type="dxa"/>
            <w:shd w:val="clear" w:color="auto" w:fill="auto"/>
          </w:tcPr>
          <w:p w:rsidR="000A0CF9" w:rsidRPr="00E52F6A" w:rsidRDefault="000A0CF9" w:rsidP="009551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15.50</w:t>
            </w:r>
          </w:p>
        </w:tc>
      </w:tr>
    </w:tbl>
    <w:p w:rsidR="000A0CF9" w:rsidRPr="00E0001F" w:rsidRDefault="000A0CF9" w:rsidP="000A0CF9">
      <w:pPr>
        <w:rPr>
          <w:rFonts w:ascii="Calibri" w:hAnsi="Calibri"/>
          <w:b/>
          <w:sz w:val="16"/>
        </w:rPr>
      </w:pPr>
    </w:p>
    <w:p w:rsidR="006C5428" w:rsidRDefault="00F35469">
      <w:r>
        <w:lastRenderedPageBreak/>
        <w:t>Review: January 2025</w:t>
      </w:r>
      <w:bookmarkStart w:id="0" w:name="_GoBack"/>
      <w:bookmarkEnd w:id="0"/>
    </w:p>
    <w:sectPr w:rsidR="006C5428" w:rsidSect="000A0C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5F" w:rsidRDefault="000A355F" w:rsidP="00372476">
      <w:pPr>
        <w:spacing w:after="0" w:line="240" w:lineRule="auto"/>
      </w:pPr>
      <w:r>
        <w:separator/>
      </w:r>
    </w:p>
  </w:endnote>
  <w:endnote w:type="continuationSeparator" w:id="0">
    <w:p w:rsidR="000A355F" w:rsidRDefault="000A355F" w:rsidP="0037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Nex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NextPro-Heavy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Next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F9" w:rsidRDefault="00372476" w:rsidP="00372476">
    <w:r w:rsidRPr="00372476">
      <w:t xml:space="preserve">References used:   Infection prevention and control in childcare settings: May 2018 health protection Scotland. </w:t>
    </w:r>
  </w:p>
  <w:p w:rsidR="00372476" w:rsidRPr="00372476" w:rsidRDefault="000A0CF9" w:rsidP="00372476">
    <w:r>
      <w:t>Reduce the risks of cot death early years safe sleeping guide: Scottish cot death trust.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5F" w:rsidRDefault="000A355F" w:rsidP="00372476">
      <w:pPr>
        <w:spacing w:after="0" w:line="240" w:lineRule="auto"/>
      </w:pPr>
      <w:r>
        <w:separator/>
      </w:r>
    </w:p>
  </w:footnote>
  <w:footnote w:type="continuationSeparator" w:id="0">
    <w:p w:rsidR="000A355F" w:rsidRDefault="000A355F" w:rsidP="00372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8FF"/>
    <w:multiLevelType w:val="hybridMultilevel"/>
    <w:tmpl w:val="B698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925E9"/>
    <w:multiLevelType w:val="hybridMultilevel"/>
    <w:tmpl w:val="17B8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196"/>
    <w:multiLevelType w:val="hybridMultilevel"/>
    <w:tmpl w:val="8F9C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7C3F"/>
    <w:multiLevelType w:val="hybridMultilevel"/>
    <w:tmpl w:val="C2D6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B19"/>
    <w:multiLevelType w:val="hybridMultilevel"/>
    <w:tmpl w:val="4DB2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30F6"/>
    <w:multiLevelType w:val="hybridMultilevel"/>
    <w:tmpl w:val="0B3E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F54"/>
    <w:multiLevelType w:val="hybridMultilevel"/>
    <w:tmpl w:val="E1E8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430EB"/>
    <w:multiLevelType w:val="hybridMultilevel"/>
    <w:tmpl w:val="E7322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1772A3"/>
    <w:multiLevelType w:val="hybridMultilevel"/>
    <w:tmpl w:val="6E30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B03CC"/>
    <w:multiLevelType w:val="hybridMultilevel"/>
    <w:tmpl w:val="9758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412AD"/>
    <w:multiLevelType w:val="hybridMultilevel"/>
    <w:tmpl w:val="4F64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28"/>
    <w:rsid w:val="00083E18"/>
    <w:rsid w:val="000A0CF9"/>
    <w:rsid w:val="000A355F"/>
    <w:rsid w:val="00120BF1"/>
    <w:rsid w:val="00123944"/>
    <w:rsid w:val="0014504E"/>
    <w:rsid w:val="00153C3E"/>
    <w:rsid w:val="001B29C9"/>
    <w:rsid w:val="001E7665"/>
    <w:rsid w:val="001F276C"/>
    <w:rsid w:val="00292CC5"/>
    <w:rsid w:val="002B3AB9"/>
    <w:rsid w:val="002C703B"/>
    <w:rsid w:val="00372476"/>
    <w:rsid w:val="003C2903"/>
    <w:rsid w:val="003F3731"/>
    <w:rsid w:val="0041647F"/>
    <w:rsid w:val="00443EFC"/>
    <w:rsid w:val="00454BF3"/>
    <w:rsid w:val="004C7495"/>
    <w:rsid w:val="00530142"/>
    <w:rsid w:val="0056202D"/>
    <w:rsid w:val="00681EC3"/>
    <w:rsid w:val="006970B0"/>
    <w:rsid w:val="006C5428"/>
    <w:rsid w:val="00706D4C"/>
    <w:rsid w:val="00730139"/>
    <w:rsid w:val="007405D2"/>
    <w:rsid w:val="00751E9E"/>
    <w:rsid w:val="007F5222"/>
    <w:rsid w:val="00875FF1"/>
    <w:rsid w:val="008B5F67"/>
    <w:rsid w:val="00900A15"/>
    <w:rsid w:val="009C0E45"/>
    <w:rsid w:val="009E3D29"/>
    <w:rsid w:val="00A06B44"/>
    <w:rsid w:val="00A57597"/>
    <w:rsid w:val="00A6019A"/>
    <w:rsid w:val="00A8532F"/>
    <w:rsid w:val="00B01F32"/>
    <w:rsid w:val="00B23738"/>
    <w:rsid w:val="00B861FD"/>
    <w:rsid w:val="00B9546D"/>
    <w:rsid w:val="00BD7DB8"/>
    <w:rsid w:val="00CD5765"/>
    <w:rsid w:val="00CF7A8E"/>
    <w:rsid w:val="00D90244"/>
    <w:rsid w:val="00EB248D"/>
    <w:rsid w:val="00F03E4F"/>
    <w:rsid w:val="00F35469"/>
    <w:rsid w:val="00F61B92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D1E9"/>
  <w15:chartTrackingRefBased/>
  <w15:docId w15:val="{80142B71-D5D4-4B5C-8CDF-0C8AA0FA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476"/>
  </w:style>
  <w:style w:type="paragraph" w:styleId="Footer">
    <w:name w:val="footer"/>
    <w:basedOn w:val="Normal"/>
    <w:link w:val="FooterChar"/>
    <w:uiPriority w:val="99"/>
    <w:unhideWhenUsed/>
    <w:rsid w:val="0037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476"/>
  </w:style>
  <w:style w:type="paragraph" w:styleId="BalloonText">
    <w:name w:val="Balloon Text"/>
    <w:basedOn w:val="Normal"/>
    <w:link w:val="BalloonTextChar"/>
    <w:uiPriority w:val="99"/>
    <w:semiHidden/>
    <w:unhideWhenUsed/>
    <w:rsid w:val="001F2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Pamela</dc:creator>
  <cp:keywords/>
  <dc:description/>
  <cp:lastModifiedBy>%username%</cp:lastModifiedBy>
  <cp:revision>6</cp:revision>
  <cp:lastPrinted>2022-01-27T14:28:00Z</cp:lastPrinted>
  <dcterms:created xsi:type="dcterms:W3CDTF">2021-06-30T14:22:00Z</dcterms:created>
  <dcterms:modified xsi:type="dcterms:W3CDTF">2024-06-24T10:16:00Z</dcterms:modified>
</cp:coreProperties>
</file>